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18"/>
      </w:tblGrid>
      <w:tr w:rsidR="00442871" w:rsidRPr="00A60A22" w:rsidTr="006D7049">
        <w:trPr>
          <w:trHeight w:val="567"/>
          <w:jc w:val="center"/>
        </w:trPr>
        <w:tc>
          <w:tcPr>
            <w:tcW w:w="10318" w:type="dxa"/>
            <w:shd w:val="clear" w:color="auto" w:fill="FECAF3"/>
            <w:vAlign w:val="center"/>
          </w:tcPr>
          <w:p w:rsidR="00442871" w:rsidRPr="00EF67D7" w:rsidRDefault="00442871" w:rsidP="005166F4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56061">
              <w:rPr>
                <w:rFonts w:ascii="Arial" w:hAnsi="Arial" w:cs="Arial"/>
                <w:snapToGrid w:val="0"/>
                <w:sz w:val="20"/>
                <w:szCs w:val="20"/>
              </w:rPr>
              <w:t>NAME OF SMALLER AUTHORITY</w:t>
            </w:r>
            <w:r w:rsidRPr="00EF67D7">
              <w:rPr>
                <w:rFonts w:ascii="Arial" w:hAnsi="Arial" w:cs="Arial"/>
                <w:snapToGrid w:val="0"/>
                <w:sz w:val="24"/>
              </w:rPr>
              <w:t>:</w:t>
            </w:r>
            <w:r w:rsidR="00AD51C7">
              <w:rPr>
                <w:rFonts w:ascii="Arial" w:hAnsi="Arial" w:cs="Arial"/>
                <w:snapToGrid w:val="0"/>
                <w:sz w:val="24"/>
              </w:rPr>
              <w:t xml:space="preserve">  </w:t>
            </w:r>
            <w:r w:rsidR="007D7684">
              <w:rPr>
                <w:rFonts w:ascii="Arial" w:hAnsi="Arial" w:cs="Arial"/>
                <w:snapToGrid w:val="0"/>
                <w:sz w:val="24"/>
              </w:rPr>
              <w:t>Combe Florey Parish Council</w:t>
            </w:r>
          </w:p>
        </w:tc>
      </w:tr>
      <w:tr w:rsidR="00442871" w:rsidRPr="00913238" w:rsidTr="006D7049">
        <w:trPr>
          <w:jc w:val="center"/>
        </w:trPr>
        <w:tc>
          <w:tcPr>
            <w:tcW w:w="10318" w:type="dxa"/>
            <w:shd w:val="clear" w:color="auto" w:fill="auto"/>
          </w:tcPr>
          <w:p w:rsidR="00442871" w:rsidRPr="00B54EAB" w:rsidRDefault="00442871" w:rsidP="006D7049">
            <w:pPr>
              <w:spacing w:after="120"/>
              <w:jc w:val="center"/>
              <w:rPr>
                <w:rFonts w:cs="Arial"/>
                <w:b/>
                <w:snapToGrid w:val="0"/>
                <w:sz w:val="32"/>
                <w:szCs w:val="32"/>
              </w:rPr>
            </w:pPr>
            <w:r w:rsidRPr="00B54EAB">
              <w:rPr>
                <w:rFonts w:cs="Arial"/>
                <w:b/>
                <w:sz w:val="32"/>
                <w:szCs w:val="32"/>
              </w:rPr>
              <w:t>NOTICE OF CONCLUSION OF AUDIT</w:t>
            </w:r>
          </w:p>
        </w:tc>
      </w:tr>
      <w:tr w:rsidR="00442871" w:rsidRPr="00913238" w:rsidTr="006D7049">
        <w:trPr>
          <w:jc w:val="center"/>
        </w:trPr>
        <w:tc>
          <w:tcPr>
            <w:tcW w:w="10318" w:type="dxa"/>
            <w:shd w:val="clear" w:color="auto" w:fill="auto"/>
          </w:tcPr>
          <w:p w:rsidR="00442871" w:rsidRPr="00913238" w:rsidRDefault="00442871" w:rsidP="006D7049">
            <w:pPr>
              <w:spacing w:after="120"/>
              <w:jc w:val="center"/>
              <w:rPr>
                <w:rFonts w:cs="Arial"/>
                <w:b/>
                <w:snapToGrid w:val="0"/>
                <w:sz w:val="24"/>
              </w:rPr>
            </w:pPr>
            <w:r w:rsidRPr="00913238">
              <w:rPr>
                <w:rFonts w:cs="Arial"/>
                <w:b/>
                <w:sz w:val="24"/>
              </w:rPr>
              <w:t>ACCOUNTS FOR THE YEAR ENDED 31 MARCH 201</w:t>
            </w:r>
            <w:r w:rsidR="00B54EAB">
              <w:rPr>
                <w:rFonts w:cs="Arial"/>
                <w:b/>
                <w:sz w:val="24"/>
              </w:rPr>
              <w:t>7</w:t>
            </w:r>
          </w:p>
        </w:tc>
      </w:tr>
    </w:tbl>
    <w:p w:rsidR="00442871" w:rsidRDefault="00442871" w:rsidP="00442871">
      <w:pPr>
        <w:pStyle w:val="Heading2"/>
        <w:jc w:val="center"/>
        <w:rPr>
          <w:rFonts w:ascii="Arial" w:hAnsi="Arial"/>
          <w:b/>
          <w:snapToGrid w:val="0"/>
          <w:sz w:val="24"/>
        </w:rPr>
      </w:pPr>
      <w:r w:rsidRPr="00425CF1">
        <w:rPr>
          <w:rFonts w:ascii="Arial" w:hAnsi="Arial"/>
          <w:b/>
          <w:snapToGrid w:val="0"/>
          <w:sz w:val="24"/>
        </w:rPr>
        <w:t>The Accounts and Audit Regulations 201</w:t>
      </w:r>
      <w:r>
        <w:rPr>
          <w:rFonts w:ascii="Arial" w:hAnsi="Arial"/>
          <w:b/>
          <w:snapToGrid w:val="0"/>
          <w:sz w:val="24"/>
        </w:rPr>
        <w:t>5</w:t>
      </w:r>
      <w:r w:rsidRPr="00425CF1">
        <w:rPr>
          <w:rFonts w:ascii="Arial" w:hAnsi="Arial"/>
          <w:b/>
          <w:snapToGrid w:val="0"/>
          <w:sz w:val="24"/>
        </w:rPr>
        <w:t xml:space="preserve"> (SI 201</w:t>
      </w:r>
      <w:r>
        <w:rPr>
          <w:rFonts w:ascii="Arial" w:hAnsi="Arial"/>
          <w:b/>
          <w:snapToGrid w:val="0"/>
          <w:sz w:val="24"/>
        </w:rPr>
        <w:t>5</w:t>
      </w:r>
      <w:r w:rsidRPr="00425CF1">
        <w:rPr>
          <w:rFonts w:ascii="Arial" w:hAnsi="Arial"/>
          <w:b/>
          <w:snapToGrid w:val="0"/>
          <w:sz w:val="24"/>
        </w:rPr>
        <w:t xml:space="preserve"> No.</w:t>
      </w:r>
      <w:r>
        <w:rPr>
          <w:rFonts w:ascii="Arial" w:hAnsi="Arial"/>
          <w:b/>
          <w:snapToGrid w:val="0"/>
          <w:sz w:val="24"/>
        </w:rPr>
        <w:t>234</w:t>
      </w:r>
      <w:r w:rsidRPr="00425CF1">
        <w:rPr>
          <w:rFonts w:ascii="Arial" w:hAnsi="Arial"/>
          <w:b/>
          <w:snapToGrid w:val="0"/>
          <w:sz w:val="24"/>
        </w:rPr>
        <w:t>)</w:t>
      </w:r>
    </w:p>
    <w:p w:rsidR="00442871" w:rsidRDefault="00442871" w:rsidP="00442871">
      <w:pPr>
        <w:pStyle w:val="Heading2"/>
        <w:jc w:val="center"/>
        <w:rPr>
          <w:rFonts w:ascii="Arial" w:hAnsi="Arial"/>
          <w:b/>
          <w:snapToGrid w:val="0"/>
          <w:sz w:val="24"/>
        </w:rPr>
      </w:pPr>
      <w:r w:rsidRPr="00913238">
        <w:rPr>
          <w:rFonts w:ascii="Arial" w:hAnsi="Arial"/>
          <w:b/>
          <w:snapToGrid w:val="0"/>
          <w:sz w:val="24"/>
        </w:rPr>
        <w:t>The Local Audit and Accountability Act 2014</w:t>
      </w: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647"/>
        <w:gridCol w:w="2268"/>
      </w:tblGrid>
      <w:tr w:rsidR="00442871" w:rsidRPr="0009518E" w:rsidTr="00442871">
        <w:trPr>
          <w:cantSplit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</w:tcBorders>
          </w:tcPr>
          <w:p w:rsidR="00442871" w:rsidRPr="0009518E" w:rsidRDefault="00442871" w:rsidP="006D7049">
            <w:pPr>
              <w:spacing w:beforeLines="40" w:before="96" w:after="40"/>
              <w:ind w:left="360" w:hanging="360"/>
              <w:jc w:val="center"/>
              <w:rPr>
                <w:rFonts w:ascii="Arial" w:hAnsi="Arial" w:cs="Arial"/>
                <w:b/>
                <w:sz w:val="24"/>
              </w:rPr>
            </w:pPr>
            <w:r w:rsidRPr="0009518E">
              <w:rPr>
                <w:rFonts w:ascii="Arial" w:hAnsi="Arial" w:cs="Arial"/>
                <w:b/>
                <w:sz w:val="24"/>
              </w:rPr>
              <w:t>NOTICE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2871" w:rsidRPr="00913238" w:rsidRDefault="00442871" w:rsidP="006D7049">
            <w:pPr>
              <w:spacing w:beforeLines="40" w:before="96" w:after="40"/>
              <w:ind w:left="360" w:hanging="360"/>
              <w:jc w:val="center"/>
              <w:rPr>
                <w:rFonts w:ascii="Arial" w:hAnsi="Arial" w:cs="Arial"/>
                <w:b/>
                <w:sz w:val="24"/>
              </w:rPr>
            </w:pPr>
            <w:r w:rsidRPr="00913238">
              <w:rPr>
                <w:rFonts w:ascii="Arial" w:hAnsi="Arial" w:cs="Arial"/>
                <w:b/>
                <w:sz w:val="24"/>
              </w:rPr>
              <w:t>NOTES</w:t>
            </w:r>
          </w:p>
        </w:tc>
      </w:tr>
      <w:tr w:rsidR="00442871" w:rsidRPr="0009518E" w:rsidTr="00442871">
        <w:trPr>
          <w:cantSplit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</w:tcBorders>
          </w:tcPr>
          <w:p w:rsidR="00442871" w:rsidRDefault="00442871" w:rsidP="006D7049">
            <w:pPr>
              <w:spacing w:beforeLines="40" w:before="96" w:after="40"/>
              <w:ind w:left="360" w:hanging="360"/>
              <w:rPr>
                <w:rFonts w:ascii="Arial" w:hAnsi="Arial" w:cs="Arial"/>
                <w:b/>
                <w:sz w:val="18"/>
              </w:rPr>
            </w:pPr>
          </w:p>
          <w:p w:rsidR="00442871" w:rsidRPr="0009518E" w:rsidRDefault="00442871" w:rsidP="006D7049">
            <w:pPr>
              <w:spacing w:beforeLines="40" w:before="96" w:after="40"/>
              <w:ind w:left="360" w:hanging="360"/>
              <w:rPr>
                <w:rFonts w:ascii="Arial" w:hAnsi="Arial" w:cs="Arial"/>
                <w:sz w:val="18"/>
              </w:rPr>
            </w:pPr>
            <w:r w:rsidRPr="0009518E">
              <w:rPr>
                <w:rFonts w:ascii="Arial" w:hAnsi="Arial" w:cs="Arial"/>
                <w:b/>
                <w:sz w:val="18"/>
              </w:rPr>
              <w:t>1.</w:t>
            </w:r>
            <w:r w:rsidRPr="0009518E">
              <w:rPr>
                <w:rFonts w:ascii="Arial" w:hAnsi="Arial" w:cs="Arial"/>
                <w:b/>
                <w:sz w:val="18"/>
              </w:rPr>
              <w:tab/>
              <w:t>Date of announcement</w:t>
            </w:r>
            <w:r w:rsidR="00AD51C7">
              <w:rPr>
                <w:rFonts w:ascii="Arial" w:hAnsi="Arial" w:cs="Arial"/>
                <w:b/>
                <w:sz w:val="18"/>
              </w:rPr>
              <w:t xml:space="preserve">  </w:t>
            </w:r>
            <w:r w:rsidR="007D7684">
              <w:rPr>
                <w:rFonts w:ascii="Arial" w:hAnsi="Arial" w:cs="Arial"/>
                <w:sz w:val="18"/>
              </w:rPr>
              <w:t>23</w:t>
            </w:r>
            <w:r w:rsidR="007D7684" w:rsidRPr="007D7684">
              <w:rPr>
                <w:rFonts w:ascii="Arial" w:hAnsi="Arial" w:cs="Arial"/>
                <w:sz w:val="18"/>
                <w:vertAlign w:val="superscript"/>
              </w:rPr>
              <w:t>rd</w:t>
            </w:r>
            <w:r w:rsidR="007D7684">
              <w:rPr>
                <w:rFonts w:ascii="Arial" w:hAnsi="Arial" w:cs="Arial"/>
                <w:sz w:val="18"/>
              </w:rPr>
              <w:t xml:space="preserve"> November 2017   </w:t>
            </w:r>
            <w:r w:rsidRPr="0009518E">
              <w:rPr>
                <w:rFonts w:ascii="Arial" w:hAnsi="Arial" w:cs="Arial"/>
                <w:sz w:val="18"/>
              </w:rPr>
              <w:t>(a</w:t>
            </w:r>
            <w:r w:rsidR="007D768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2871" w:rsidRDefault="00442871" w:rsidP="00CC65AF">
            <w:pPr>
              <w:spacing w:beforeLines="40" w:before="96" w:after="40"/>
              <w:ind w:left="283" w:hanging="360"/>
              <w:rPr>
                <w:rFonts w:ascii="Arial" w:hAnsi="Arial" w:cs="Arial"/>
                <w:sz w:val="16"/>
                <w:szCs w:val="16"/>
              </w:rPr>
            </w:pPr>
          </w:p>
          <w:p w:rsidR="00442871" w:rsidRPr="00CC65AF" w:rsidRDefault="00442871" w:rsidP="00CC65AF">
            <w:pPr>
              <w:pStyle w:val="ListParagraph"/>
              <w:numPr>
                <w:ilvl w:val="0"/>
                <w:numId w:val="43"/>
              </w:numPr>
              <w:spacing w:beforeLines="40" w:before="96" w:after="40"/>
              <w:ind w:left="283"/>
              <w:rPr>
                <w:rFonts w:ascii="Arial" w:hAnsi="Arial" w:cs="Arial"/>
                <w:sz w:val="16"/>
                <w:szCs w:val="16"/>
              </w:rPr>
            </w:pPr>
            <w:r w:rsidRPr="00CC65AF">
              <w:rPr>
                <w:rFonts w:ascii="Arial" w:hAnsi="Arial" w:cs="Arial"/>
                <w:sz w:val="16"/>
                <w:szCs w:val="16"/>
              </w:rPr>
              <w:t>Insert date of placing of this</w:t>
            </w:r>
            <w:r w:rsidR="00AD51C7" w:rsidRPr="00CC65AF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CC65AF">
              <w:rPr>
                <w:rFonts w:ascii="Arial" w:hAnsi="Arial" w:cs="Arial"/>
                <w:sz w:val="16"/>
                <w:szCs w:val="16"/>
              </w:rPr>
              <w:t>otice</w:t>
            </w:r>
          </w:p>
        </w:tc>
      </w:tr>
      <w:tr w:rsidR="00442871" w:rsidRPr="0009518E" w:rsidTr="00442871">
        <w:trPr>
          <w:cantSplit/>
          <w:trHeight w:val="1320"/>
        </w:trPr>
        <w:tc>
          <w:tcPr>
            <w:tcW w:w="8647" w:type="dxa"/>
            <w:tcBorders>
              <w:left w:val="single" w:sz="12" w:space="0" w:color="auto"/>
            </w:tcBorders>
          </w:tcPr>
          <w:p w:rsidR="00442871" w:rsidRDefault="00442871" w:rsidP="006D7049">
            <w:pPr>
              <w:spacing w:beforeLines="40" w:before="96" w:after="4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Notice of conclusion of audit and publication of accounts</w:t>
            </w:r>
            <w:r w:rsidR="00B96FB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42871" w:rsidRPr="00B96FB7" w:rsidRDefault="00442871" w:rsidP="00B96FB7">
            <w:pPr>
              <w:spacing w:after="100" w:afterAutospacing="1" w:line="480" w:lineRule="auto"/>
              <w:ind w:left="357" w:hanging="3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96FB7">
              <w:rPr>
                <w:rFonts w:ascii="Arial" w:hAnsi="Arial" w:cs="Arial"/>
                <w:b/>
                <w:sz w:val="18"/>
                <w:szCs w:val="18"/>
              </w:rPr>
              <w:t xml:space="preserve">The audit of the </w:t>
            </w:r>
            <w:r w:rsidR="00CC65AF" w:rsidRPr="00B96FB7">
              <w:rPr>
                <w:rFonts w:ascii="Arial" w:hAnsi="Arial" w:cs="Arial"/>
                <w:b/>
                <w:sz w:val="18"/>
                <w:szCs w:val="18"/>
              </w:rPr>
              <w:t>authority</w:t>
            </w:r>
            <w:r w:rsidRPr="00B96FB7">
              <w:rPr>
                <w:rFonts w:ascii="Arial" w:hAnsi="Arial" w:cs="Arial"/>
                <w:b/>
                <w:sz w:val="18"/>
                <w:szCs w:val="18"/>
              </w:rPr>
              <w:t>'s accounts for the above year has been concluded on</w:t>
            </w:r>
            <w:r w:rsidR="00B96FB7" w:rsidRPr="00B96FB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96F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7684">
              <w:rPr>
                <w:rFonts w:ascii="Arial" w:hAnsi="Arial" w:cs="Arial"/>
                <w:b/>
                <w:sz w:val="18"/>
              </w:rPr>
              <w:t>21</w:t>
            </w:r>
            <w:r w:rsidR="007D7684" w:rsidRPr="007D7684">
              <w:rPr>
                <w:rFonts w:ascii="Arial" w:hAnsi="Arial" w:cs="Arial"/>
                <w:b/>
                <w:sz w:val="18"/>
                <w:vertAlign w:val="superscript"/>
              </w:rPr>
              <w:t>st</w:t>
            </w:r>
            <w:r w:rsidR="007D7684">
              <w:rPr>
                <w:rFonts w:ascii="Arial" w:hAnsi="Arial" w:cs="Arial"/>
                <w:b/>
                <w:sz w:val="18"/>
              </w:rPr>
              <w:t xml:space="preserve"> August 2017</w:t>
            </w:r>
            <w:r w:rsidR="00AD51C7" w:rsidRPr="00B96F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6FB7">
              <w:rPr>
                <w:rFonts w:ascii="Arial" w:hAnsi="Arial" w:cs="Arial"/>
                <w:b/>
                <w:sz w:val="18"/>
                <w:szCs w:val="18"/>
              </w:rPr>
              <w:t xml:space="preserve">(date) </w:t>
            </w:r>
            <w:r w:rsidR="00AD51C7" w:rsidRPr="00B96FB7">
              <w:rPr>
                <w:rFonts w:ascii="Arial" w:hAnsi="Arial" w:cs="Arial"/>
                <w:b/>
                <w:sz w:val="18"/>
                <w:szCs w:val="18"/>
              </w:rPr>
              <w:t xml:space="preserve">by grant Thornton UK LLP.  </w:t>
            </w:r>
            <w:r w:rsidR="00B96FB7" w:rsidRPr="00B96FB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D51C7" w:rsidRPr="00B96FB7">
              <w:rPr>
                <w:rFonts w:ascii="Arial" w:hAnsi="Arial" w:cs="Arial"/>
                <w:b/>
                <w:sz w:val="18"/>
                <w:szCs w:val="18"/>
              </w:rPr>
              <w:t>The Annual governance statement, Accounting statements and the External a</w:t>
            </w:r>
            <w:r w:rsidRPr="00B96FB7">
              <w:rPr>
                <w:rFonts w:ascii="Arial" w:hAnsi="Arial" w:cs="Arial"/>
                <w:b/>
                <w:sz w:val="18"/>
                <w:szCs w:val="18"/>
              </w:rPr>
              <w:t xml:space="preserve">uditor certificate and report (the Annual Return), have been published </w:t>
            </w:r>
            <w:r w:rsidR="00CC65AF" w:rsidRPr="00B96FB7">
              <w:rPr>
                <w:rFonts w:ascii="Arial" w:hAnsi="Arial" w:cs="Arial"/>
                <w:b/>
                <w:sz w:val="18"/>
                <w:szCs w:val="18"/>
              </w:rPr>
              <w:t>(b</w:t>
            </w:r>
            <w:r w:rsidRPr="00B96FB7">
              <w:rPr>
                <w:rFonts w:ascii="Arial" w:hAnsi="Arial" w:cs="Arial"/>
                <w:b/>
                <w:sz w:val="18"/>
                <w:szCs w:val="18"/>
              </w:rPr>
              <w:t>)(</w:t>
            </w:r>
            <w:r w:rsidR="00CC65AF" w:rsidRPr="00B96FB7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96FB7">
              <w:rPr>
                <w:rFonts w:ascii="Arial" w:hAnsi="Arial" w:cs="Arial"/>
                <w:b/>
                <w:sz w:val="18"/>
                <w:szCs w:val="18"/>
              </w:rPr>
              <w:t xml:space="preserve">). 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442871" w:rsidRPr="00E52FC3" w:rsidRDefault="00442871" w:rsidP="00CC65AF">
            <w:pPr>
              <w:spacing w:beforeLines="40" w:before="96" w:after="40"/>
              <w:ind w:left="283"/>
              <w:rPr>
                <w:rFonts w:ascii="Arial" w:hAnsi="Arial" w:cs="Arial"/>
                <w:sz w:val="16"/>
                <w:szCs w:val="16"/>
              </w:rPr>
            </w:pPr>
          </w:p>
          <w:p w:rsidR="00442871" w:rsidRDefault="00442871" w:rsidP="00CC65AF">
            <w:pPr>
              <w:pStyle w:val="ListParagraph"/>
              <w:numPr>
                <w:ilvl w:val="0"/>
                <w:numId w:val="43"/>
              </w:numPr>
              <w:spacing w:beforeLines="40" w:before="96" w:after="40"/>
              <w:ind w:left="283"/>
              <w:rPr>
                <w:rFonts w:ascii="Arial" w:hAnsi="Arial" w:cs="Arial"/>
                <w:sz w:val="16"/>
                <w:szCs w:val="16"/>
              </w:rPr>
            </w:pPr>
            <w:r w:rsidRPr="009E3AA8">
              <w:rPr>
                <w:rFonts w:ascii="Arial" w:hAnsi="Arial" w:cs="Arial"/>
                <w:b/>
                <w:sz w:val="16"/>
                <w:szCs w:val="16"/>
              </w:rPr>
              <w:t>Parish Councils</w:t>
            </w:r>
            <w:r w:rsidRPr="005E6D56">
              <w:rPr>
                <w:rFonts w:ascii="Arial" w:hAnsi="Arial" w:cs="Arial"/>
                <w:sz w:val="16"/>
                <w:szCs w:val="16"/>
              </w:rPr>
              <w:t xml:space="preserve"> should publish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information on a website.</w:t>
            </w:r>
          </w:p>
          <w:p w:rsidR="00442871" w:rsidRPr="005E6D56" w:rsidRDefault="00442871" w:rsidP="00CC65AF">
            <w:pPr>
              <w:pStyle w:val="ListParagraph"/>
              <w:ind w:left="283"/>
              <w:rPr>
                <w:rFonts w:ascii="Arial" w:hAnsi="Arial" w:cs="Arial"/>
                <w:sz w:val="16"/>
                <w:szCs w:val="16"/>
              </w:rPr>
            </w:pPr>
          </w:p>
          <w:p w:rsidR="00442871" w:rsidRPr="005E6D56" w:rsidRDefault="00442871" w:rsidP="00CC65AF">
            <w:pPr>
              <w:pStyle w:val="ListParagraph"/>
              <w:numPr>
                <w:ilvl w:val="0"/>
                <w:numId w:val="43"/>
              </w:numPr>
              <w:spacing w:beforeLines="40" w:before="96" w:after="40"/>
              <w:ind w:left="283"/>
              <w:rPr>
                <w:rFonts w:ascii="Arial" w:hAnsi="Arial" w:cs="Arial"/>
                <w:sz w:val="16"/>
                <w:szCs w:val="16"/>
              </w:rPr>
            </w:pPr>
            <w:r w:rsidRPr="009E3AA8">
              <w:rPr>
                <w:rFonts w:ascii="Arial" w:hAnsi="Arial" w:cs="Arial"/>
                <w:b/>
                <w:sz w:val="16"/>
                <w:szCs w:val="16"/>
              </w:rPr>
              <w:t>Parish meetings</w:t>
            </w:r>
            <w:r w:rsidRPr="005E6D56">
              <w:rPr>
                <w:rFonts w:ascii="Arial" w:hAnsi="Arial" w:cs="Arial"/>
                <w:sz w:val="16"/>
                <w:szCs w:val="16"/>
              </w:rPr>
              <w:t xml:space="preserve"> should display information in a conspicuous place in the area of the authority for at least 14 days.</w:t>
            </w:r>
          </w:p>
        </w:tc>
      </w:tr>
      <w:tr w:rsidR="00442871" w:rsidRPr="0009518E" w:rsidTr="00442871">
        <w:trPr>
          <w:cantSplit/>
          <w:trHeight w:val="634"/>
        </w:trPr>
        <w:tc>
          <w:tcPr>
            <w:tcW w:w="8647" w:type="dxa"/>
            <w:tcBorders>
              <w:left w:val="single" w:sz="12" w:space="0" w:color="auto"/>
            </w:tcBorders>
          </w:tcPr>
          <w:p w:rsidR="00442871" w:rsidRPr="00B96FB7" w:rsidRDefault="00442871" w:rsidP="009E3AA8">
            <w:pPr>
              <w:spacing w:beforeLines="40" w:before="96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96FB7">
              <w:rPr>
                <w:rFonts w:ascii="Arial" w:hAnsi="Arial" w:cs="Arial"/>
                <w:sz w:val="18"/>
                <w:szCs w:val="18"/>
              </w:rPr>
              <w:t>Copies of documents are available for purchase by any person on payment of a reasonable sum. Documents will remain available for public access for a period of not less than 5 years from the date of this notice</w:t>
            </w:r>
            <w:r w:rsidR="0032678E">
              <w:rPr>
                <w:rFonts w:ascii="Arial" w:hAnsi="Arial" w:cs="Arial"/>
                <w:sz w:val="18"/>
                <w:szCs w:val="18"/>
              </w:rPr>
              <w:t xml:space="preserve"> (d)</w:t>
            </w:r>
            <w:r w:rsidRPr="00B96F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442871" w:rsidRPr="0032678E" w:rsidRDefault="0032678E" w:rsidP="0032678E">
            <w:pPr>
              <w:pStyle w:val="ListParagraph"/>
              <w:numPr>
                <w:ilvl w:val="0"/>
                <w:numId w:val="43"/>
              </w:numPr>
              <w:spacing w:beforeLines="40" w:before="96" w:after="40"/>
              <w:ind w:left="318"/>
              <w:rPr>
                <w:rFonts w:ascii="Arial" w:hAnsi="Arial" w:cs="Arial"/>
                <w:sz w:val="16"/>
                <w:szCs w:val="16"/>
              </w:rPr>
            </w:pPr>
            <w:r w:rsidRPr="0032678E">
              <w:rPr>
                <w:rFonts w:ascii="Arial" w:hAnsi="Arial" w:cs="Arial"/>
                <w:sz w:val="16"/>
                <w:szCs w:val="16"/>
              </w:rPr>
              <w:t>See note 25.2 of the Local Audit and Accountability Act 2014 for further information.</w:t>
            </w:r>
          </w:p>
        </w:tc>
      </w:tr>
      <w:tr w:rsidR="00442871" w:rsidRPr="0009518E" w:rsidTr="00442871">
        <w:trPr>
          <w:cantSplit/>
          <w:trHeight w:val="634"/>
        </w:trPr>
        <w:tc>
          <w:tcPr>
            <w:tcW w:w="8647" w:type="dxa"/>
            <w:tcBorders>
              <w:left w:val="single" w:sz="12" w:space="0" w:color="auto"/>
            </w:tcBorders>
          </w:tcPr>
          <w:p w:rsidR="00442871" w:rsidRPr="003B47C2" w:rsidRDefault="00442871" w:rsidP="006D7049">
            <w:pPr>
              <w:spacing w:beforeLines="40" w:before="96" w:after="4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B47C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B47C2">
              <w:rPr>
                <w:rFonts w:ascii="Arial" w:hAnsi="Arial" w:cs="Arial"/>
                <w:b/>
                <w:sz w:val="18"/>
                <w:szCs w:val="18"/>
              </w:rPr>
              <w:tab/>
              <w:t>Section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25</w:t>
            </w:r>
            <w:r w:rsidRPr="003B47C2">
              <w:rPr>
                <w:rFonts w:ascii="Arial" w:hAnsi="Arial" w:cs="Arial"/>
                <w:b/>
                <w:sz w:val="18"/>
                <w:szCs w:val="18"/>
              </w:rPr>
              <w:t xml:space="preserve"> of the Local Audit and Accountability Act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B47C2">
              <w:rPr>
                <w:rFonts w:ascii="Arial" w:hAnsi="Arial" w:cs="Arial"/>
                <w:b/>
                <w:sz w:val="18"/>
                <w:szCs w:val="18"/>
              </w:rPr>
              <w:t xml:space="preserve"> provide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B47C2">
              <w:rPr>
                <w:rFonts w:ascii="Arial" w:hAnsi="Arial" w:cs="Arial"/>
                <w:b/>
                <w:sz w:val="18"/>
                <w:szCs w:val="18"/>
              </w:rPr>
              <w:t xml:space="preserve"> for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exercise of public rights to inspect the statement of accounts</w:t>
            </w:r>
            <w:r w:rsidRPr="003B47C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442871" w:rsidRPr="00CA5EED" w:rsidRDefault="00442871" w:rsidP="006D7049">
            <w:pPr>
              <w:spacing w:beforeLines="40" w:before="96" w:after="40"/>
              <w:ind w:left="360" w:hanging="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871" w:rsidRPr="0009518E" w:rsidTr="00442871">
        <w:trPr>
          <w:cantSplit/>
        </w:trPr>
        <w:tc>
          <w:tcPr>
            <w:tcW w:w="8647" w:type="dxa"/>
            <w:tcBorders>
              <w:left w:val="single" w:sz="12" w:space="0" w:color="auto"/>
            </w:tcBorders>
          </w:tcPr>
          <w:p w:rsidR="00442871" w:rsidRPr="003B47C2" w:rsidRDefault="00442871" w:rsidP="00442871">
            <w:pPr>
              <w:pStyle w:val="BulletOne"/>
              <w:tabs>
                <w:tab w:val="clear" w:pos="340"/>
                <w:tab w:val="num" w:pos="587"/>
              </w:tabs>
              <w:ind w:left="587" w:hanging="227"/>
              <w:rPr>
                <w:rFonts w:ascii="Arial" w:hAnsi="Arial" w:cs="Arial"/>
                <w:b/>
                <w:sz w:val="18"/>
                <w:szCs w:val="18"/>
              </w:rPr>
            </w:pPr>
            <w:r w:rsidRPr="003B47C2">
              <w:rPr>
                <w:rFonts w:ascii="Arial" w:hAnsi="Arial" w:cs="Arial"/>
                <w:b/>
                <w:sz w:val="18"/>
                <w:szCs w:val="18"/>
              </w:rPr>
              <w:t>Local Government Electors and their representatives have rights 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make copies of</w:t>
            </w:r>
            <w:r w:rsidRPr="003B47C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442871" w:rsidRPr="00CA5EED" w:rsidRDefault="00442871" w:rsidP="006D7049">
            <w:pPr>
              <w:spacing w:beforeLines="40" w:before="96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871" w:rsidRPr="0009518E" w:rsidTr="00442871">
        <w:trPr>
          <w:cantSplit/>
        </w:trPr>
        <w:tc>
          <w:tcPr>
            <w:tcW w:w="8647" w:type="dxa"/>
            <w:tcBorders>
              <w:left w:val="single" w:sz="12" w:space="0" w:color="auto"/>
            </w:tcBorders>
          </w:tcPr>
          <w:p w:rsidR="00442871" w:rsidRPr="002D0691" w:rsidRDefault="00442871" w:rsidP="00B96FB7">
            <w:pPr>
              <w:pStyle w:val="legclearfix2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0691"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 xml:space="preserve">the </w:t>
            </w:r>
            <w:r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>accounting statements</w:t>
            </w:r>
            <w:r w:rsidRPr="002D0691"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>,</w:t>
            </w:r>
          </w:p>
          <w:p w:rsidR="00442871" w:rsidRPr="002D0691" w:rsidRDefault="00442871" w:rsidP="00B96FB7">
            <w:pPr>
              <w:pStyle w:val="legclearfix2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0691"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 xml:space="preserve">the </w:t>
            </w:r>
            <w:r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>external</w:t>
            </w:r>
            <w:r w:rsidRPr="002D0691"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 xml:space="preserve"> auditor’s </w:t>
            </w:r>
            <w:r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>opinion and certificate of completion</w:t>
            </w:r>
            <w:r w:rsidR="00DB4A75"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 xml:space="preserve"> (e)</w:t>
            </w:r>
            <w:r w:rsidRPr="002D0691"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>,</w:t>
            </w:r>
          </w:p>
          <w:p w:rsidR="00442871" w:rsidRPr="002D0691" w:rsidRDefault="00442871" w:rsidP="00B96FB7">
            <w:pPr>
              <w:pStyle w:val="legclearfix2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0691"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>any public interest report relating to the authority, and</w:t>
            </w:r>
          </w:p>
          <w:p w:rsidR="00442871" w:rsidRPr="002D0691" w:rsidRDefault="00442871" w:rsidP="00B96FB7">
            <w:pPr>
              <w:pStyle w:val="legclearfix2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0691">
              <w:rPr>
                <w:rStyle w:val="legds2"/>
                <w:rFonts w:ascii="Arial" w:hAnsi="Arial" w:cs="Arial"/>
                <w:sz w:val="18"/>
                <w:szCs w:val="18"/>
                <w:lang w:val="en"/>
                <w:specVanish w:val="0"/>
              </w:rPr>
              <w:t>any recommendation relating to the authority.</w:t>
            </w:r>
          </w:p>
          <w:p w:rsidR="00442871" w:rsidRPr="00E92F12" w:rsidRDefault="00442871" w:rsidP="006D7049">
            <w:pPr>
              <w:spacing w:beforeLines="40" w:before="96" w:after="40" w:line="276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  <w:r w:rsidRPr="003B47C2">
              <w:rPr>
                <w:rFonts w:ascii="Arial" w:hAnsi="Arial" w:cs="Arial"/>
                <w:b/>
                <w:sz w:val="18"/>
                <w:szCs w:val="18"/>
              </w:rPr>
              <w:t xml:space="preserve">For the year ended 31 March </w:t>
            </w:r>
            <w:r w:rsidR="00B54EAB">
              <w:rPr>
                <w:rFonts w:ascii="Arial" w:hAnsi="Arial" w:cs="Arial"/>
                <w:b/>
                <w:sz w:val="18"/>
                <w:szCs w:val="18"/>
              </w:rPr>
              <w:t>2017</w:t>
            </w:r>
            <w:r w:rsidRPr="003B47C2">
              <w:rPr>
                <w:rFonts w:ascii="Arial" w:hAnsi="Arial" w:cs="Arial"/>
                <w:b/>
                <w:sz w:val="18"/>
                <w:szCs w:val="18"/>
              </w:rPr>
              <w:t xml:space="preserve"> these documents will be available on reasonable notice on application 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person in paragraph 4</w:t>
            </w:r>
            <w:r w:rsidRPr="003B47C2">
              <w:rPr>
                <w:rFonts w:ascii="Arial" w:hAnsi="Arial" w:cs="Arial"/>
                <w:b/>
                <w:sz w:val="18"/>
                <w:szCs w:val="18"/>
              </w:rPr>
              <w:t xml:space="preserve"> below.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442871" w:rsidRPr="00CC65AF" w:rsidRDefault="00442871" w:rsidP="00CC65AF">
            <w:pPr>
              <w:pStyle w:val="ListParagraph"/>
              <w:numPr>
                <w:ilvl w:val="0"/>
                <w:numId w:val="43"/>
              </w:numPr>
              <w:spacing w:beforeLines="40" w:before="96" w:after="40"/>
              <w:ind w:left="283"/>
              <w:rPr>
                <w:rFonts w:ascii="Arial" w:hAnsi="Arial" w:cs="Arial"/>
                <w:sz w:val="16"/>
                <w:szCs w:val="16"/>
              </w:rPr>
            </w:pPr>
            <w:r w:rsidRPr="00CC65AF">
              <w:rPr>
                <w:rFonts w:ascii="Arial" w:hAnsi="Arial" w:cs="Arial"/>
                <w:sz w:val="16"/>
                <w:szCs w:val="16"/>
              </w:rPr>
              <w:t>Section 3 of Annual Return provides the external auditors certificate and report including any subsequent pages attached.</w:t>
            </w:r>
          </w:p>
          <w:p w:rsidR="00442871" w:rsidRPr="0032678E" w:rsidRDefault="00442871" w:rsidP="0032678E">
            <w:pPr>
              <w:spacing w:beforeLines="40" w:before="96" w:after="40"/>
              <w:ind w:left="-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871" w:rsidRPr="0009518E" w:rsidTr="00C4019E">
        <w:trPr>
          <w:cantSplit/>
          <w:trHeight w:val="374"/>
        </w:trPr>
        <w:tc>
          <w:tcPr>
            <w:tcW w:w="8647" w:type="dxa"/>
            <w:tcBorders>
              <w:left w:val="single" w:sz="12" w:space="0" w:color="auto"/>
            </w:tcBorders>
          </w:tcPr>
          <w:p w:rsidR="00442871" w:rsidRDefault="00442871" w:rsidP="006D7049">
            <w:pPr>
              <w:ind w:left="357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Pr="003701AE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 xml:space="preserve">  Person to which you can apply to inspect the accounts and availability</w:t>
            </w:r>
            <w:r w:rsidR="00CC65AF" w:rsidRPr="0042050E">
              <w:rPr>
                <w:rFonts w:ascii="Arial" w:hAnsi="Arial" w:cs="Arial"/>
                <w:b/>
                <w:sz w:val="18"/>
              </w:rPr>
              <w:t xml:space="preserve"> (f)</w:t>
            </w:r>
          </w:p>
          <w:p w:rsidR="00283AB6" w:rsidRPr="00283AB6" w:rsidRDefault="00283AB6" w:rsidP="00B96FB7">
            <w:pPr>
              <w:spacing w:after="240"/>
              <w:ind w:left="357" w:hanging="357"/>
              <w:rPr>
                <w:rFonts w:ascii="Arial" w:hAnsi="Arial" w:cs="Arial"/>
                <w:sz w:val="18"/>
              </w:rPr>
            </w:pPr>
            <w:r w:rsidRPr="00283AB6">
              <w:rPr>
                <w:rFonts w:ascii="Arial" w:hAnsi="Arial" w:cs="Arial"/>
                <w:sz w:val="18"/>
              </w:rPr>
              <w:t>Name:</w:t>
            </w:r>
            <w:r w:rsidRPr="00283AB6">
              <w:rPr>
                <w:rFonts w:ascii="Arial" w:hAnsi="Arial" w:cs="Arial"/>
                <w:sz w:val="18"/>
              </w:rPr>
              <w:tab/>
            </w:r>
            <w:r w:rsidR="00B96FB7">
              <w:rPr>
                <w:rFonts w:ascii="Arial" w:hAnsi="Arial" w:cs="Arial"/>
                <w:sz w:val="18"/>
              </w:rPr>
              <w:t xml:space="preserve"> </w:t>
            </w:r>
            <w:r w:rsidR="007D7684">
              <w:rPr>
                <w:rFonts w:ascii="Arial" w:hAnsi="Arial" w:cs="Arial"/>
                <w:sz w:val="18"/>
              </w:rPr>
              <w:t>Cllr J Warmington</w:t>
            </w:r>
          </w:p>
          <w:p w:rsidR="00283AB6" w:rsidRPr="00283AB6" w:rsidRDefault="00283AB6" w:rsidP="00B96FB7">
            <w:pPr>
              <w:spacing w:after="240"/>
              <w:ind w:left="357" w:hanging="357"/>
              <w:rPr>
                <w:rFonts w:ascii="Arial" w:hAnsi="Arial" w:cs="Arial"/>
                <w:sz w:val="18"/>
              </w:rPr>
            </w:pPr>
            <w:r w:rsidRPr="00283AB6">
              <w:rPr>
                <w:rFonts w:ascii="Arial" w:hAnsi="Arial" w:cs="Arial"/>
                <w:sz w:val="18"/>
              </w:rPr>
              <w:t>Position:</w:t>
            </w:r>
            <w:r w:rsidR="00B96FB7">
              <w:rPr>
                <w:rFonts w:ascii="Arial" w:hAnsi="Arial" w:cs="Arial"/>
                <w:sz w:val="18"/>
              </w:rPr>
              <w:t xml:space="preserve">  </w:t>
            </w:r>
            <w:r w:rsidR="007D7684">
              <w:rPr>
                <w:rFonts w:ascii="Arial" w:hAnsi="Arial" w:cs="Arial"/>
                <w:sz w:val="18"/>
              </w:rPr>
              <w:t>Interim Chair</w:t>
            </w:r>
          </w:p>
          <w:p w:rsidR="00283AB6" w:rsidRPr="00283AB6" w:rsidRDefault="00283AB6" w:rsidP="007D7684">
            <w:pPr>
              <w:spacing w:after="240"/>
              <w:ind w:left="357" w:hanging="357"/>
              <w:rPr>
                <w:rFonts w:ascii="Arial" w:hAnsi="Arial" w:cs="Arial"/>
                <w:sz w:val="18"/>
              </w:rPr>
            </w:pPr>
            <w:r w:rsidRPr="00283AB6">
              <w:rPr>
                <w:rFonts w:ascii="Arial" w:hAnsi="Arial" w:cs="Arial"/>
                <w:sz w:val="18"/>
              </w:rPr>
              <w:t>Address:</w:t>
            </w:r>
            <w:r w:rsidR="00B96FB7">
              <w:rPr>
                <w:rFonts w:ascii="Arial" w:hAnsi="Arial" w:cs="Arial"/>
                <w:sz w:val="18"/>
              </w:rPr>
              <w:t xml:space="preserve"> </w:t>
            </w:r>
            <w:r w:rsidR="007D7684">
              <w:rPr>
                <w:rFonts w:ascii="Arial" w:hAnsi="Arial" w:cs="Arial"/>
                <w:sz w:val="18"/>
              </w:rPr>
              <w:t xml:space="preserve"> </w:t>
            </w:r>
            <w:r w:rsidR="007D7684" w:rsidRPr="007D7684">
              <w:rPr>
                <w:rFonts w:ascii="Arial" w:hAnsi="Arial" w:cs="Arial"/>
                <w:sz w:val="18"/>
              </w:rPr>
              <w:t>The Coach House, Cothelstone, Taunton TA4 3EB</w:t>
            </w:r>
          </w:p>
          <w:p w:rsidR="00283AB6" w:rsidRPr="00283AB6" w:rsidRDefault="00283AB6" w:rsidP="00B96FB7">
            <w:pPr>
              <w:spacing w:after="240"/>
              <w:ind w:left="357" w:hanging="357"/>
              <w:rPr>
                <w:rFonts w:ascii="Arial" w:hAnsi="Arial" w:cs="Arial"/>
                <w:sz w:val="18"/>
              </w:rPr>
            </w:pPr>
            <w:r w:rsidRPr="00283AB6">
              <w:rPr>
                <w:rFonts w:ascii="Arial" w:hAnsi="Arial" w:cs="Arial"/>
                <w:sz w:val="18"/>
              </w:rPr>
              <w:t>Tel no:</w:t>
            </w:r>
            <w:r w:rsidRPr="00283AB6">
              <w:rPr>
                <w:rFonts w:ascii="Arial" w:hAnsi="Arial" w:cs="Arial"/>
                <w:sz w:val="18"/>
              </w:rPr>
              <w:tab/>
            </w:r>
            <w:r w:rsidR="00B96FB7">
              <w:rPr>
                <w:rFonts w:ascii="Arial" w:hAnsi="Arial" w:cs="Arial"/>
                <w:sz w:val="18"/>
              </w:rPr>
              <w:t xml:space="preserve"> </w:t>
            </w:r>
            <w:r w:rsidR="007D7684" w:rsidRPr="007D7684">
              <w:rPr>
                <w:rFonts w:ascii="Arial" w:hAnsi="Arial" w:cs="Arial"/>
                <w:sz w:val="18"/>
              </w:rPr>
              <w:t>07790 652191</w:t>
            </w:r>
          </w:p>
          <w:p w:rsidR="00283AB6" w:rsidRPr="00283AB6" w:rsidRDefault="00283AB6" w:rsidP="00B96FB7">
            <w:pPr>
              <w:spacing w:after="240"/>
              <w:ind w:left="357" w:hanging="357"/>
              <w:rPr>
                <w:rFonts w:ascii="Arial" w:hAnsi="Arial" w:cs="Arial"/>
                <w:sz w:val="18"/>
              </w:rPr>
            </w:pPr>
            <w:r w:rsidRPr="00283AB6">
              <w:rPr>
                <w:rFonts w:ascii="Arial" w:hAnsi="Arial" w:cs="Arial"/>
                <w:sz w:val="18"/>
              </w:rPr>
              <w:t>Email:</w:t>
            </w:r>
            <w:r w:rsidRPr="00283AB6">
              <w:rPr>
                <w:rFonts w:ascii="Arial" w:hAnsi="Arial" w:cs="Arial"/>
                <w:sz w:val="18"/>
              </w:rPr>
              <w:tab/>
            </w:r>
            <w:r w:rsidR="007D7684">
              <w:rPr>
                <w:rFonts w:ascii="Arial" w:hAnsi="Arial" w:cs="Arial"/>
                <w:sz w:val="18"/>
              </w:rPr>
              <w:t xml:space="preserve"> combefloreysec@gmail.com</w:t>
            </w:r>
          </w:p>
          <w:p w:rsidR="00283AB6" w:rsidRPr="00CC65AF" w:rsidRDefault="00283AB6" w:rsidP="007D7684">
            <w:pPr>
              <w:spacing w:after="240"/>
              <w:ind w:left="357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Days and times of availability:  </w:t>
            </w:r>
            <w:r w:rsidR="007D7684">
              <w:rPr>
                <w:rFonts w:ascii="Arial" w:hAnsi="Arial" w:cs="Arial"/>
                <w:sz w:val="18"/>
              </w:rPr>
              <w:t>by prior arrangement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442871" w:rsidRPr="00CA5EED" w:rsidRDefault="00442871" w:rsidP="00DB4A75">
            <w:pPr>
              <w:pStyle w:val="ListParagraph"/>
              <w:numPr>
                <w:ilvl w:val="0"/>
                <w:numId w:val="43"/>
              </w:numPr>
              <w:spacing w:beforeLines="40" w:before="96" w:after="40"/>
              <w:ind w:left="283"/>
              <w:rPr>
                <w:rFonts w:ascii="Arial" w:hAnsi="Arial" w:cs="Arial"/>
                <w:sz w:val="16"/>
                <w:szCs w:val="16"/>
              </w:rPr>
            </w:pPr>
            <w:r w:rsidRPr="00CA5EED">
              <w:rPr>
                <w:rFonts w:ascii="Arial" w:hAnsi="Arial" w:cs="Arial"/>
                <w:sz w:val="16"/>
                <w:szCs w:val="16"/>
              </w:rPr>
              <w:t xml:space="preserve">Insert name, position, address and contact details such as telephone and email of the Clerk or other person  to which any person may apply to inspect the </w:t>
            </w:r>
            <w:r w:rsidR="00DB4A75">
              <w:rPr>
                <w:rFonts w:ascii="Arial" w:hAnsi="Arial" w:cs="Arial"/>
                <w:sz w:val="16"/>
                <w:szCs w:val="16"/>
              </w:rPr>
              <w:t>above documents</w:t>
            </w:r>
            <w:r w:rsidRPr="00CA5EED">
              <w:rPr>
                <w:rFonts w:ascii="Arial" w:hAnsi="Arial" w:cs="Arial"/>
                <w:sz w:val="16"/>
                <w:szCs w:val="16"/>
              </w:rPr>
              <w:t>, and the details of the manner in which notice should be given of an intention to inspect the accounting records and other documents</w:t>
            </w:r>
            <w:r w:rsidR="00CC65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42871" w:rsidRPr="00F864CE" w:rsidTr="00442871">
        <w:trPr>
          <w:cantSplit/>
          <w:trHeight w:val="963"/>
        </w:trPr>
        <w:tc>
          <w:tcPr>
            <w:tcW w:w="8647" w:type="dxa"/>
            <w:tcBorders>
              <w:left w:val="single" w:sz="12" w:space="0" w:color="auto"/>
              <w:bottom w:val="single" w:sz="12" w:space="0" w:color="auto"/>
            </w:tcBorders>
          </w:tcPr>
          <w:p w:rsidR="00442871" w:rsidRDefault="00442871" w:rsidP="00B96FB7">
            <w:pPr>
              <w:spacing w:beforeLines="40" w:before="96" w:after="240"/>
              <w:ind w:left="3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 Signature and name of person giving Notice on behalf of the authority</w:t>
            </w:r>
          </w:p>
          <w:p w:rsidR="00442871" w:rsidRPr="003B47C2" w:rsidRDefault="007D7684" w:rsidP="007D7684">
            <w:pPr>
              <w:spacing w:beforeLines="40" w:before="96" w:after="2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Claire Morrison-Jones </w:t>
            </w:r>
            <w:r w:rsidR="00B96FB7">
              <w:rPr>
                <w:rFonts w:ascii="Arial" w:hAnsi="Arial" w:cs="Arial"/>
                <w:b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33550" cy="3714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FB7">
              <w:rPr>
                <w:rFonts w:ascii="Arial" w:hAnsi="Arial" w:cs="Arial"/>
                <w:b/>
                <w:sz w:val="18"/>
              </w:rPr>
              <w:t xml:space="preserve"> C</w:t>
            </w:r>
            <w:r w:rsidR="00442871">
              <w:rPr>
                <w:rFonts w:ascii="Arial" w:hAnsi="Arial" w:cs="Arial"/>
                <w:b/>
                <w:sz w:val="18"/>
              </w:rPr>
              <w:t>lerk and/or Responsible Financial Officer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871" w:rsidRPr="003B47C2" w:rsidRDefault="00442871" w:rsidP="006D7049">
            <w:pPr>
              <w:spacing w:beforeLines="40" w:before="96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871" w:rsidRPr="00F864CE" w:rsidTr="00442871">
        <w:trPr>
          <w:cantSplit/>
          <w:trHeight w:val="963"/>
        </w:trPr>
        <w:tc>
          <w:tcPr>
            <w:tcW w:w="8647" w:type="dxa"/>
            <w:tcBorders>
              <w:left w:val="single" w:sz="12" w:space="0" w:color="auto"/>
              <w:bottom w:val="single" w:sz="12" w:space="0" w:color="auto"/>
            </w:tcBorders>
          </w:tcPr>
          <w:p w:rsidR="00442871" w:rsidRPr="00442871" w:rsidRDefault="00442871" w:rsidP="006D7049">
            <w:pPr>
              <w:spacing w:beforeLines="40" w:before="96" w:after="40"/>
              <w:ind w:left="33"/>
              <w:rPr>
                <w:rFonts w:ascii="Arial" w:hAnsi="Arial" w:cs="Arial"/>
                <w:b/>
                <w:sz w:val="16"/>
                <w:szCs w:val="16"/>
              </w:rPr>
            </w:pPr>
            <w:r w:rsidRPr="00442871">
              <w:rPr>
                <w:rFonts w:ascii="Arial" w:hAnsi="Arial" w:cs="Arial"/>
                <w:b/>
                <w:sz w:val="16"/>
                <w:szCs w:val="16"/>
              </w:rPr>
              <w:t>For more detailed guidance on electors’ rights and the special powers of auditors, copies of the publication Council Accounts –  A Guide to Your Rights are available from the National Audit Office website</w:t>
            </w:r>
          </w:p>
          <w:p w:rsidR="00442871" w:rsidRPr="00A957AE" w:rsidRDefault="007D7684" w:rsidP="006D7049">
            <w:pPr>
              <w:spacing w:beforeLines="40" w:before="96" w:after="40"/>
              <w:ind w:left="33"/>
              <w:rPr>
                <w:rFonts w:ascii="Arial" w:hAnsi="Arial" w:cs="Arial"/>
                <w:b/>
                <w:sz w:val="18"/>
              </w:rPr>
            </w:pPr>
            <w:hyperlink r:id="rId8" w:history="1">
              <w:r w:rsidR="00442871" w:rsidRPr="005C45E2">
                <w:rPr>
                  <w:rStyle w:val="Hyperlink"/>
                  <w:rFonts w:ascii="Arial" w:hAnsi="Arial" w:cs="Arial"/>
                  <w:b/>
                  <w:sz w:val="18"/>
                </w:rPr>
                <w:t>https://www.nao.org.uk/code-audit-practice/wp-content/uploads/sites/29/2015/03/Council-accounts-a-guide-to-your-rights.pdf</w:t>
              </w:r>
            </w:hyperlink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871" w:rsidRPr="003B47C2" w:rsidRDefault="00442871" w:rsidP="006D7049">
            <w:pPr>
              <w:spacing w:beforeLines="40" w:before="96" w:after="40"/>
              <w:ind w:left="360" w:hanging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15A2" w:rsidRPr="00DC7324" w:rsidRDefault="008715A2" w:rsidP="00DC7324"/>
    <w:sectPr w:rsidR="008715A2" w:rsidRPr="00DC7324" w:rsidSect="00442871">
      <w:footerReference w:type="even" r:id="rId9"/>
      <w:footerReference w:type="default" r:id="rId10"/>
      <w:pgSz w:w="11906" w:h="16838" w:code="9"/>
      <w:pgMar w:top="720" w:right="720" w:bottom="426" w:left="720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31" w:rsidRDefault="00666A31">
      <w:r>
        <w:separator/>
      </w:r>
    </w:p>
  </w:endnote>
  <w:endnote w:type="continuationSeparator" w:id="0">
    <w:p w:rsidR="00666A31" w:rsidRDefault="0066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B28" w:rsidRDefault="00003544">
    <w:pPr>
      <w:pStyle w:val="Footer"/>
      <w:framePr w:wrap="around" w:vAnchor="text" w:hAnchor="margin" w:xAlign="right" w:y="1"/>
    </w:pPr>
    <w:r>
      <w:fldChar w:fldCharType="begin"/>
    </w:r>
    <w:r w:rsidR="00C97B28">
      <w:instrText xml:space="preserve">PAGE  </w:instrText>
    </w:r>
    <w:r>
      <w:fldChar w:fldCharType="end"/>
    </w:r>
  </w:p>
  <w:p w:rsidR="00C97B28" w:rsidRDefault="00C97B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B28" w:rsidRDefault="00003544" w:rsidP="008715A2">
    <w:pPr>
      <w:pStyle w:val="Footer"/>
      <w:framePr w:w="851" w:wrap="around" w:vAnchor="text" w:hAnchor="margin" w:xAlign="right" w:y="1" w:anchorLock="1"/>
      <w:shd w:val="clear" w:color="FFFFFF" w:fill="auto"/>
      <w:jc w:val="right"/>
    </w:pPr>
    <w:r>
      <w:fldChar w:fldCharType="begin"/>
    </w:r>
    <w:r w:rsidR="00EB601B">
      <w:instrText xml:space="preserve"> PAGE \* MERGEFORMAT </w:instrText>
    </w:r>
    <w:r>
      <w:fldChar w:fldCharType="separate"/>
    </w:r>
    <w:r w:rsidR="0032678E">
      <w:rPr>
        <w:noProof/>
      </w:rPr>
      <w:t>2</w:t>
    </w:r>
    <w:r>
      <w:rPr>
        <w:noProof/>
      </w:rPr>
      <w:fldChar w:fldCharType="end"/>
    </w:r>
  </w:p>
  <w:p w:rsidR="00C97B28" w:rsidRDefault="00C97B28" w:rsidP="00871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31" w:rsidRDefault="00666A31">
      <w:pPr>
        <w:pStyle w:val="Footer"/>
      </w:pPr>
    </w:p>
  </w:footnote>
  <w:footnote w:type="continuationSeparator" w:id="0">
    <w:p w:rsidR="00666A31" w:rsidRDefault="00666A3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6F37"/>
    <w:multiLevelType w:val="multilevel"/>
    <w:tmpl w:val="4B4AC8FC"/>
    <w:lvl w:ilvl="0">
      <w:start w:val="1"/>
      <w:numFmt w:val="upperLetter"/>
      <w:pStyle w:val="AppendixTitl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DF3F1F"/>
    <w:multiLevelType w:val="hybridMultilevel"/>
    <w:tmpl w:val="2CC02776"/>
    <w:lvl w:ilvl="0" w:tplc="125833B8">
      <w:start w:val="1"/>
      <w:numFmt w:val="bullet"/>
      <w:lvlText w:val="-"/>
      <w:lvlJc w:val="left"/>
      <w:pPr>
        <w:tabs>
          <w:tab w:val="num" w:pos="814"/>
        </w:tabs>
        <w:ind w:left="680" w:hanging="226"/>
      </w:pPr>
      <w:rPr>
        <w:rFonts w:ascii="Garamond" w:hAnsi="Garamon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4088"/>
        </w:tabs>
        <w:ind w:left="4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8"/>
        </w:tabs>
        <w:ind w:left="4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8"/>
        </w:tabs>
        <w:ind w:left="5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8"/>
        </w:tabs>
        <w:ind w:left="6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8"/>
        </w:tabs>
        <w:ind w:left="6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8"/>
        </w:tabs>
        <w:ind w:left="7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8"/>
        </w:tabs>
        <w:ind w:left="8408" w:hanging="360"/>
      </w:pPr>
      <w:rPr>
        <w:rFonts w:ascii="Wingdings" w:hAnsi="Wingdings" w:hint="default"/>
      </w:rPr>
    </w:lvl>
  </w:abstractNum>
  <w:abstractNum w:abstractNumId="2" w15:restartNumberingAfterBreak="0">
    <w:nsid w:val="174A1544"/>
    <w:multiLevelType w:val="hybridMultilevel"/>
    <w:tmpl w:val="67B4CF88"/>
    <w:lvl w:ilvl="0" w:tplc="8716EE3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" w15:restartNumberingAfterBreak="0">
    <w:nsid w:val="188604BC"/>
    <w:multiLevelType w:val="multilevel"/>
    <w:tmpl w:val="1C6CE688"/>
    <w:lvl w:ilvl="0">
      <w:start w:val="1"/>
      <w:numFmt w:val="decimal"/>
      <w:lvlRestart w:val="0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7644EC"/>
    <w:multiLevelType w:val="multilevel"/>
    <w:tmpl w:val="3AF42A8A"/>
    <w:lvl w:ilvl="0">
      <w:start w:val="1"/>
      <w:numFmt w:val="decimal"/>
      <w:lvlText w:val="%1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5" w15:restartNumberingAfterBreak="0">
    <w:nsid w:val="2CC95F0D"/>
    <w:multiLevelType w:val="hybridMultilevel"/>
    <w:tmpl w:val="5D588FEC"/>
    <w:lvl w:ilvl="0" w:tplc="4D260768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63F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345D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3BF51EB"/>
    <w:multiLevelType w:val="hybridMultilevel"/>
    <w:tmpl w:val="489615FE"/>
    <w:lvl w:ilvl="0" w:tplc="7EC49772">
      <w:start w:val="1"/>
      <w:numFmt w:val="lowerRoman"/>
      <w:lvlText w:val="%1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42489"/>
    <w:multiLevelType w:val="hybridMultilevel"/>
    <w:tmpl w:val="D88C304E"/>
    <w:lvl w:ilvl="0" w:tplc="CB7A96E8">
      <w:start w:val="1"/>
      <w:numFmt w:val="bullet"/>
      <w:lvlText w:val=""/>
      <w:lvlJc w:val="left"/>
      <w:pPr>
        <w:tabs>
          <w:tab w:val="num" w:pos="757"/>
        </w:tabs>
        <w:ind w:left="75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3B714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14541EF"/>
    <w:multiLevelType w:val="multilevel"/>
    <w:tmpl w:val="43DCD2B0"/>
    <w:lvl w:ilvl="0">
      <w:start w:val="1"/>
      <w:numFmt w:val="decimal"/>
      <w:pStyle w:val="NumHead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pStyle w:val="NumText"/>
      <w:lvlText w:val="%1.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12" w15:restartNumberingAfterBreak="0">
    <w:nsid w:val="434325A2"/>
    <w:multiLevelType w:val="multilevel"/>
    <w:tmpl w:val="C75E14F0"/>
    <w:lvl w:ilvl="0">
      <w:start w:val="1"/>
      <w:numFmt w:val="decimal"/>
      <w:pStyle w:val="TableNumberBullet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4EA08AA"/>
    <w:multiLevelType w:val="multilevel"/>
    <w:tmpl w:val="7E6A306E"/>
    <w:lvl w:ilvl="0">
      <w:start w:val="1"/>
      <w:numFmt w:val="upperLetter"/>
      <w:pStyle w:val="Appendix"/>
      <w:suff w:val="nothing"/>
      <w:lvlText w:val="Appendix %1"/>
      <w:lvlJc w:val="left"/>
      <w:pPr>
        <w:ind w:left="454" w:hanging="45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6753469"/>
    <w:multiLevelType w:val="multilevel"/>
    <w:tmpl w:val="1C6CE688"/>
    <w:lvl w:ilvl="0">
      <w:start w:val="1"/>
      <w:numFmt w:val="decimal"/>
      <w:lvlRestart w:val="0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71D729C"/>
    <w:multiLevelType w:val="multilevel"/>
    <w:tmpl w:val="AD528F6C"/>
    <w:lvl w:ilvl="0">
      <w:start w:val="1"/>
      <w:numFmt w:val="decimal"/>
      <w:lvlRestart w:val="0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C7A3ACC"/>
    <w:multiLevelType w:val="hybridMultilevel"/>
    <w:tmpl w:val="4B7AFB74"/>
    <w:lvl w:ilvl="0" w:tplc="C2721352">
      <w:start w:val="1"/>
      <w:numFmt w:val="lowerLetter"/>
      <w:lvlText w:val="%1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637C9B"/>
    <w:multiLevelType w:val="multilevel"/>
    <w:tmpl w:val="382A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5FC78EC"/>
    <w:multiLevelType w:val="hybridMultilevel"/>
    <w:tmpl w:val="10588116"/>
    <w:lvl w:ilvl="0" w:tplc="C57EE82A">
      <w:start w:val="1"/>
      <w:numFmt w:val="bullet"/>
      <w:pStyle w:val="BulletOn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46BAE"/>
    <w:multiLevelType w:val="multilevel"/>
    <w:tmpl w:val="3CFE55B0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0" w15:restartNumberingAfterBreak="0">
    <w:nsid w:val="5F836AF2"/>
    <w:multiLevelType w:val="hybridMultilevel"/>
    <w:tmpl w:val="40987F9E"/>
    <w:lvl w:ilvl="0" w:tplc="E7C63290">
      <w:start w:val="1"/>
      <w:numFmt w:val="bullet"/>
      <w:pStyle w:val="BulletTwo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C36B2"/>
    <w:multiLevelType w:val="hybridMultilevel"/>
    <w:tmpl w:val="FD9851D6"/>
    <w:lvl w:ilvl="0" w:tplc="AE4C28EA">
      <w:start w:val="1"/>
      <w:numFmt w:val="lowerLetter"/>
      <w:lvlText w:val="(%1)"/>
      <w:lvlJc w:val="left"/>
      <w:pPr>
        <w:ind w:left="7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2" w15:restartNumberingAfterBreak="0">
    <w:nsid w:val="6BFB5047"/>
    <w:multiLevelType w:val="hybridMultilevel"/>
    <w:tmpl w:val="EB863490"/>
    <w:lvl w:ilvl="0" w:tplc="AE4C28E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73374AC7"/>
    <w:multiLevelType w:val="multilevel"/>
    <w:tmpl w:val="1C6CE688"/>
    <w:lvl w:ilvl="0">
      <w:start w:val="1"/>
      <w:numFmt w:val="decimal"/>
      <w:lvlRestart w:val="0"/>
      <w:pStyle w:val="NumBulletOne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umBulletTwo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umBulletThree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5476BC3"/>
    <w:multiLevelType w:val="multilevel"/>
    <w:tmpl w:val="1C6CE688"/>
    <w:lvl w:ilvl="0">
      <w:start w:val="1"/>
      <w:numFmt w:val="decimal"/>
      <w:lvlRestart w:val="0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8CB6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486E2F"/>
    <w:multiLevelType w:val="hybridMultilevel"/>
    <w:tmpl w:val="34924DBE"/>
    <w:lvl w:ilvl="0" w:tplc="C6A2F150">
      <w:start w:val="1"/>
      <w:numFmt w:val="bullet"/>
      <w:pStyle w:val="BulletThree"/>
      <w:lvlText w:val="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8"/>
  </w:num>
  <w:num w:numId="5">
    <w:abstractNumId w:val="19"/>
  </w:num>
  <w:num w:numId="6">
    <w:abstractNumId w:val="19"/>
  </w:num>
  <w:num w:numId="7">
    <w:abstractNumId w:val="5"/>
  </w:num>
  <w:num w:numId="8">
    <w:abstractNumId w:val="12"/>
  </w:num>
  <w:num w:numId="9">
    <w:abstractNumId w:val="13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16"/>
  </w:num>
  <w:num w:numId="15">
    <w:abstractNumId w:val="8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  <w:num w:numId="24">
    <w:abstractNumId w:val="11"/>
  </w:num>
  <w:num w:numId="25">
    <w:abstractNumId w:val="11"/>
  </w:num>
  <w:num w:numId="26">
    <w:abstractNumId w:val="7"/>
  </w:num>
  <w:num w:numId="27">
    <w:abstractNumId w:val="25"/>
  </w:num>
  <w:num w:numId="28">
    <w:abstractNumId w:val="18"/>
  </w:num>
  <w:num w:numId="29">
    <w:abstractNumId w:val="26"/>
  </w:num>
  <w:num w:numId="30">
    <w:abstractNumId w:val="20"/>
  </w:num>
  <w:num w:numId="31">
    <w:abstractNumId w:val="23"/>
  </w:num>
  <w:num w:numId="32">
    <w:abstractNumId w:val="23"/>
  </w:num>
  <w:num w:numId="33">
    <w:abstractNumId w:val="23"/>
  </w:num>
  <w:num w:numId="34">
    <w:abstractNumId w:val="6"/>
  </w:num>
  <w:num w:numId="35">
    <w:abstractNumId w:val="15"/>
  </w:num>
  <w:num w:numId="36">
    <w:abstractNumId w:val="3"/>
  </w:num>
  <w:num w:numId="37">
    <w:abstractNumId w:val="24"/>
  </w:num>
  <w:num w:numId="38">
    <w:abstractNumId w:val="14"/>
  </w:num>
  <w:num w:numId="39">
    <w:abstractNumId w:val="10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71"/>
    <w:rsid w:val="00003544"/>
    <w:rsid w:val="00014B28"/>
    <w:rsid w:val="00015E64"/>
    <w:rsid w:val="000723A9"/>
    <w:rsid w:val="00084C3A"/>
    <w:rsid w:val="000A2EEC"/>
    <w:rsid w:val="000B0EE4"/>
    <w:rsid w:val="000C45E8"/>
    <w:rsid w:val="000F5597"/>
    <w:rsid w:val="00131497"/>
    <w:rsid w:val="001420C1"/>
    <w:rsid w:val="001D3D9C"/>
    <w:rsid w:val="0021649E"/>
    <w:rsid w:val="00283AB6"/>
    <w:rsid w:val="00294445"/>
    <w:rsid w:val="002C6CDC"/>
    <w:rsid w:val="0032678E"/>
    <w:rsid w:val="003733C7"/>
    <w:rsid w:val="003E5E31"/>
    <w:rsid w:val="003F717E"/>
    <w:rsid w:val="0042050E"/>
    <w:rsid w:val="0042243F"/>
    <w:rsid w:val="00442871"/>
    <w:rsid w:val="00443AC9"/>
    <w:rsid w:val="00476A58"/>
    <w:rsid w:val="004C7EAC"/>
    <w:rsid w:val="004E20A6"/>
    <w:rsid w:val="004F7CF4"/>
    <w:rsid w:val="005166F4"/>
    <w:rsid w:val="0058243F"/>
    <w:rsid w:val="005944F3"/>
    <w:rsid w:val="00651D00"/>
    <w:rsid w:val="00666A31"/>
    <w:rsid w:val="006A19F1"/>
    <w:rsid w:val="006B76DD"/>
    <w:rsid w:val="006D320D"/>
    <w:rsid w:val="006E79D8"/>
    <w:rsid w:val="00753FC8"/>
    <w:rsid w:val="0076520A"/>
    <w:rsid w:val="007848BF"/>
    <w:rsid w:val="007957CF"/>
    <w:rsid w:val="007D7684"/>
    <w:rsid w:val="007E531A"/>
    <w:rsid w:val="00806403"/>
    <w:rsid w:val="00850003"/>
    <w:rsid w:val="008715A2"/>
    <w:rsid w:val="008A4FDE"/>
    <w:rsid w:val="008B00AD"/>
    <w:rsid w:val="008B7FDD"/>
    <w:rsid w:val="00917342"/>
    <w:rsid w:val="00963CF7"/>
    <w:rsid w:val="009654B6"/>
    <w:rsid w:val="00985E5F"/>
    <w:rsid w:val="009A287C"/>
    <w:rsid w:val="009C53EC"/>
    <w:rsid w:val="009E3AA8"/>
    <w:rsid w:val="00A62DBF"/>
    <w:rsid w:val="00A733C0"/>
    <w:rsid w:val="00A929B2"/>
    <w:rsid w:val="00AA29DD"/>
    <w:rsid w:val="00AC640D"/>
    <w:rsid w:val="00AD1908"/>
    <w:rsid w:val="00AD51C7"/>
    <w:rsid w:val="00AF34C3"/>
    <w:rsid w:val="00B15BED"/>
    <w:rsid w:val="00B54EAB"/>
    <w:rsid w:val="00B96FB7"/>
    <w:rsid w:val="00B97FFD"/>
    <w:rsid w:val="00BE20C5"/>
    <w:rsid w:val="00BE53DC"/>
    <w:rsid w:val="00BE73B5"/>
    <w:rsid w:val="00C133DD"/>
    <w:rsid w:val="00C4019E"/>
    <w:rsid w:val="00C430C9"/>
    <w:rsid w:val="00C97B28"/>
    <w:rsid w:val="00CC65AF"/>
    <w:rsid w:val="00D751D3"/>
    <w:rsid w:val="00DB4A75"/>
    <w:rsid w:val="00DC7324"/>
    <w:rsid w:val="00DE0548"/>
    <w:rsid w:val="00E84CBD"/>
    <w:rsid w:val="00EB423D"/>
    <w:rsid w:val="00EB601B"/>
    <w:rsid w:val="00F17562"/>
    <w:rsid w:val="00F35709"/>
    <w:rsid w:val="00F545BA"/>
    <w:rsid w:val="00F619B4"/>
    <w:rsid w:val="00F66045"/>
    <w:rsid w:val="00F725BC"/>
    <w:rsid w:val="00F9755A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791AC8"/>
  <w15:docId w15:val="{62905981-2A74-478D-B632-AEB91E1C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2871"/>
    <w:pPr>
      <w:spacing w:after="284"/>
    </w:pPr>
    <w:rPr>
      <w:rFonts w:ascii="Garamond" w:hAnsi="Garamond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E73B5"/>
    <w:pPr>
      <w:keepNext/>
      <w:spacing w:after="0" w:line="260" w:lineRule="atLeast"/>
      <w:outlineLvl w:val="0"/>
    </w:pPr>
    <w:rPr>
      <w:rFonts w:ascii="Arial Black" w:hAnsi="Arial Black" w:cs="Arial"/>
      <w:bCs/>
      <w:kern w:val="32"/>
      <w:sz w:val="21"/>
      <w:szCs w:val="21"/>
    </w:rPr>
  </w:style>
  <w:style w:type="paragraph" w:styleId="Heading2">
    <w:name w:val="heading 2"/>
    <w:basedOn w:val="Heading1"/>
    <w:next w:val="Normal"/>
    <w:link w:val="Heading2Char"/>
    <w:qFormat/>
    <w:rsid w:val="00BE73B5"/>
    <w:pPr>
      <w:outlineLvl w:val="1"/>
    </w:pPr>
    <w:rPr>
      <w:bCs w:val="0"/>
      <w:iCs/>
      <w:sz w:val="19"/>
      <w:szCs w:val="19"/>
    </w:rPr>
  </w:style>
  <w:style w:type="paragraph" w:styleId="Heading3">
    <w:name w:val="heading 3"/>
    <w:basedOn w:val="Heading2"/>
    <w:next w:val="Normal"/>
    <w:qFormat/>
    <w:rsid w:val="00BE73B5"/>
    <w:pPr>
      <w:outlineLvl w:val="2"/>
    </w:pPr>
    <w:rPr>
      <w:rFonts w:ascii="Arial" w:hAnsi="Arial"/>
      <w:b/>
      <w:bCs/>
    </w:rPr>
  </w:style>
  <w:style w:type="paragraph" w:styleId="Heading4">
    <w:name w:val="heading 4"/>
    <w:basedOn w:val="Heading3"/>
    <w:next w:val="Normal"/>
    <w:qFormat/>
    <w:rsid w:val="007E531A"/>
    <w:p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qFormat/>
    <w:rsid w:val="003E5E31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E5E31"/>
    <w:pPr>
      <w:numPr>
        <w:ilvl w:val="5"/>
        <w:numId w:val="3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3E5E31"/>
    <w:pPr>
      <w:numPr>
        <w:ilvl w:val="6"/>
        <w:numId w:val="3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E5E31"/>
    <w:pPr>
      <w:numPr>
        <w:ilvl w:val="7"/>
        <w:numId w:val="3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E5E31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rsid w:val="00E84CBD"/>
    <w:pPr>
      <w:numPr>
        <w:numId w:val="10"/>
      </w:numPr>
      <w:spacing w:after="0"/>
      <w:jc w:val="right"/>
    </w:pPr>
    <w:rPr>
      <w:rFonts w:ascii="Arial" w:hAnsi="Arial"/>
      <w:b/>
      <w:color w:val="808080"/>
      <w:sz w:val="16"/>
    </w:rPr>
  </w:style>
  <w:style w:type="paragraph" w:styleId="Footer">
    <w:name w:val="footer"/>
    <w:basedOn w:val="Normal"/>
    <w:rsid w:val="00E84CBD"/>
    <w:pPr>
      <w:tabs>
        <w:tab w:val="center" w:pos="4153"/>
        <w:tab w:val="right" w:pos="8306"/>
      </w:tabs>
      <w:spacing w:after="0"/>
    </w:pPr>
    <w:rPr>
      <w:rFonts w:ascii="Arial" w:hAnsi="Arial"/>
      <w:b/>
      <w:color w:val="808080"/>
      <w:sz w:val="16"/>
    </w:rPr>
  </w:style>
  <w:style w:type="paragraph" w:styleId="Header">
    <w:name w:val="header"/>
    <w:basedOn w:val="Normal"/>
    <w:rsid w:val="00E84CBD"/>
    <w:pPr>
      <w:tabs>
        <w:tab w:val="center" w:pos="4150"/>
        <w:tab w:val="right" w:pos="8307"/>
      </w:tabs>
      <w:spacing w:after="0"/>
    </w:pPr>
    <w:rPr>
      <w:rFonts w:ascii="Arial" w:hAnsi="Arial"/>
      <w:b/>
      <w:color w:val="808080"/>
      <w:sz w:val="16"/>
    </w:rPr>
  </w:style>
  <w:style w:type="paragraph" w:customStyle="1" w:styleId="NumHead">
    <w:name w:val="NumHead"/>
    <w:basedOn w:val="Normal"/>
    <w:next w:val="NumText"/>
    <w:rsid w:val="008A4FDE"/>
    <w:pPr>
      <w:keepNext/>
      <w:numPr>
        <w:numId w:val="24"/>
      </w:numPr>
      <w:spacing w:after="0" w:line="260" w:lineRule="atLeast"/>
    </w:pPr>
    <w:rPr>
      <w:rFonts w:ascii="Arial Black" w:hAnsi="Arial Black"/>
      <w:sz w:val="21"/>
      <w:szCs w:val="21"/>
    </w:rPr>
  </w:style>
  <w:style w:type="paragraph" w:customStyle="1" w:styleId="NumText">
    <w:name w:val="NumText"/>
    <w:basedOn w:val="Normal"/>
    <w:rsid w:val="00E84CBD"/>
    <w:pPr>
      <w:numPr>
        <w:ilvl w:val="1"/>
        <w:numId w:val="24"/>
      </w:numPr>
      <w:spacing w:line="280" w:lineRule="exact"/>
    </w:pPr>
  </w:style>
  <w:style w:type="paragraph" w:customStyle="1" w:styleId="TableHeading">
    <w:name w:val="Table Heading"/>
    <w:basedOn w:val="TableText"/>
    <w:rsid w:val="00F35709"/>
    <w:rPr>
      <w:b/>
      <w:bCs/>
      <w:kern w:val="28"/>
      <w:szCs w:val="24"/>
    </w:rPr>
  </w:style>
  <w:style w:type="paragraph" w:customStyle="1" w:styleId="TableText">
    <w:name w:val="Table Text"/>
    <w:basedOn w:val="Normal"/>
    <w:rsid w:val="00F35709"/>
    <w:pPr>
      <w:spacing w:after="0"/>
      <w:ind w:right="142"/>
    </w:pPr>
    <w:rPr>
      <w:szCs w:val="22"/>
    </w:rPr>
  </w:style>
  <w:style w:type="paragraph" w:customStyle="1" w:styleId="TableSubTot">
    <w:name w:val="Table SubTot"/>
    <w:basedOn w:val="TableFigures"/>
    <w:rsid w:val="00AD1908"/>
    <w:pPr>
      <w:pBdr>
        <w:top w:val="single" w:sz="6" w:space="1" w:color="auto"/>
      </w:pBdr>
    </w:pPr>
    <w:rPr>
      <w:szCs w:val="24"/>
    </w:rPr>
  </w:style>
  <w:style w:type="paragraph" w:customStyle="1" w:styleId="TableTotal">
    <w:name w:val="Table Total"/>
    <w:basedOn w:val="TableFigures"/>
    <w:rsid w:val="00AD1908"/>
    <w:pPr>
      <w:pBdr>
        <w:top w:val="single" w:sz="6" w:space="1" w:color="auto"/>
        <w:bottom w:val="double" w:sz="6" w:space="1" w:color="auto"/>
      </w:pBdr>
    </w:pPr>
  </w:style>
  <w:style w:type="paragraph" w:styleId="Title">
    <w:name w:val="Title"/>
    <w:basedOn w:val="Normal"/>
    <w:next w:val="Heading1"/>
    <w:qFormat/>
    <w:rsid w:val="00E84CBD"/>
    <w:pPr>
      <w:spacing w:before="400" w:after="400" w:line="580" w:lineRule="atLeast"/>
    </w:pPr>
    <w:rPr>
      <w:rFonts w:cs="Arial"/>
      <w:bCs/>
      <w:kern w:val="28"/>
      <w:sz w:val="40"/>
      <w:szCs w:val="32"/>
    </w:rPr>
  </w:style>
  <w:style w:type="paragraph" w:customStyle="1" w:styleId="TableDouble">
    <w:name w:val="Table Double"/>
    <w:basedOn w:val="TableFigures"/>
    <w:rsid w:val="00E84CBD"/>
    <w:pPr>
      <w:pBdr>
        <w:bottom w:val="double" w:sz="6" w:space="1" w:color="auto"/>
      </w:pBdr>
    </w:pPr>
    <w:rPr>
      <w:sz w:val="16"/>
      <w:szCs w:val="24"/>
    </w:rPr>
  </w:style>
  <w:style w:type="paragraph" w:customStyle="1" w:styleId="TableSingle">
    <w:name w:val="Table Single"/>
    <w:basedOn w:val="TableFigures"/>
    <w:rsid w:val="00AD1908"/>
    <w:pPr>
      <w:pBdr>
        <w:bottom w:val="single" w:sz="6" w:space="1" w:color="auto"/>
      </w:pBdr>
    </w:pPr>
    <w:rPr>
      <w:szCs w:val="24"/>
    </w:rPr>
  </w:style>
  <w:style w:type="paragraph" w:customStyle="1" w:styleId="TableBullet">
    <w:name w:val="Table Bullet"/>
    <w:basedOn w:val="TableText"/>
    <w:rsid w:val="00F35709"/>
    <w:pPr>
      <w:numPr>
        <w:numId w:val="19"/>
      </w:numPr>
    </w:pPr>
    <w:rPr>
      <w:szCs w:val="20"/>
    </w:rPr>
  </w:style>
  <w:style w:type="paragraph" w:customStyle="1" w:styleId="TableNumberBullet">
    <w:name w:val="Table Number Bullet"/>
    <w:basedOn w:val="TableText"/>
    <w:rsid w:val="00F35709"/>
    <w:pPr>
      <w:numPr>
        <w:numId w:val="20"/>
      </w:numPr>
    </w:pPr>
    <w:rPr>
      <w:szCs w:val="24"/>
    </w:rPr>
  </w:style>
  <w:style w:type="paragraph" w:styleId="TOC1">
    <w:name w:val="toc 1"/>
    <w:basedOn w:val="Normal"/>
    <w:next w:val="Normal"/>
    <w:semiHidden/>
    <w:rsid w:val="00E84CBD"/>
    <w:pPr>
      <w:spacing w:before="240" w:after="120"/>
    </w:pPr>
    <w:rPr>
      <w:b/>
      <w:bCs/>
    </w:rPr>
  </w:style>
  <w:style w:type="paragraph" w:customStyle="1" w:styleId="AppendixTitle">
    <w:name w:val="Appendix Title"/>
    <w:basedOn w:val="Title"/>
    <w:next w:val="Normal"/>
    <w:rsid w:val="00E84CBD"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rsid w:val="00E84CBD"/>
    <w:pPr>
      <w:pageBreakBefore/>
      <w:spacing w:after="1400"/>
    </w:pPr>
    <w:rPr>
      <w:sz w:val="40"/>
    </w:rPr>
  </w:style>
  <w:style w:type="paragraph" w:customStyle="1" w:styleId="TableFigures">
    <w:name w:val="Table Figures"/>
    <w:basedOn w:val="TableText"/>
    <w:rsid w:val="00AD1908"/>
    <w:pPr>
      <w:spacing w:before="25"/>
    </w:pPr>
    <w:rPr>
      <w:rFonts w:ascii="Arial" w:hAnsi="Arial"/>
      <w:sz w:val="18"/>
    </w:rPr>
  </w:style>
  <w:style w:type="paragraph" w:customStyle="1" w:styleId="BulletOne">
    <w:name w:val="BulletOne"/>
    <w:basedOn w:val="Normal"/>
    <w:rsid w:val="00F9755A"/>
    <w:pPr>
      <w:numPr>
        <w:numId w:val="28"/>
      </w:numPr>
      <w:spacing w:after="0"/>
    </w:pPr>
  </w:style>
  <w:style w:type="paragraph" w:customStyle="1" w:styleId="BulletThree">
    <w:name w:val="BulletThree"/>
    <w:basedOn w:val="Normal"/>
    <w:rsid w:val="00F9755A"/>
    <w:pPr>
      <w:numPr>
        <w:numId w:val="29"/>
      </w:numPr>
      <w:spacing w:after="0"/>
    </w:pPr>
  </w:style>
  <w:style w:type="paragraph" w:customStyle="1" w:styleId="BulletTwo">
    <w:name w:val="BulletTwo"/>
    <w:basedOn w:val="Normal"/>
    <w:rsid w:val="00F9755A"/>
    <w:pPr>
      <w:numPr>
        <w:numId w:val="30"/>
      </w:numPr>
      <w:spacing w:after="0"/>
    </w:pPr>
  </w:style>
  <w:style w:type="paragraph" w:customStyle="1" w:styleId="Indent1">
    <w:name w:val="Indent1"/>
    <w:basedOn w:val="Normal"/>
    <w:rsid w:val="00A733C0"/>
    <w:pPr>
      <w:tabs>
        <w:tab w:val="left" w:pos="567"/>
      </w:tabs>
      <w:ind w:left="567" w:hanging="567"/>
    </w:pPr>
  </w:style>
  <w:style w:type="paragraph" w:customStyle="1" w:styleId="Indent2">
    <w:name w:val="Indent2"/>
    <w:basedOn w:val="Normal"/>
    <w:rsid w:val="00A733C0"/>
    <w:pPr>
      <w:tabs>
        <w:tab w:val="left" w:pos="1134"/>
      </w:tabs>
      <w:ind w:left="1134" w:hanging="567"/>
    </w:pPr>
  </w:style>
  <w:style w:type="paragraph" w:customStyle="1" w:styleId="NumBulletOne">
    <w:name w:val="NumBulletOne"/>
    <w:basedOn w:val="Normal"/>
    <w:rsid w:val="003E5E31"/>
    <w:pPr>
      <w:numPr>
        <w:numId w:val="33"/>
      </w:numPr>
      <w:spacing w:after="0"/>
    </w:pPr>
  </w:style>
  <w:style w:type="paragraph" w:customStyle="1" w:styleId="NumBulletThree">
    <w:name w:val="NumBulletThree"/>
    <w:basedOn w:val="Normal"/>
    <w:rsid w:val="003E5E31"/>
    <w:pPr>
      <w:numPr>
        <w:ilvl w:val="2"/>
        <w:numId w:val="33"/>
      </w:numPr>
      <w:spacing w:after="0"/>
    </w:pPr>
  </w:style>
  <w:style w:type="paragraph" w:customStyle="1" w:styleId="NumBulletTwo">
    <w:name w:val="NumBulletTwo"/>
    <w:basedOn w:val="Normal"/>
    <w:rsid w:val="003E5E31"/>
    <w:pPr>
      <w:numPr>
        <w:ilvl w:val="1"/>
        <w:numId w:val="33"/>
      </w:numPr>
      <w:spacing w:after="0"/>
    </w:pPr>
  </w:style>
  <w:style w:type="character" w:customStyle="1" w:styleId="Heading2Char">
    <w:name w:val="Heading 2 Char"/>
    <w:basedOn w:val="DefaultParagraphFont"/>
    <w:link w:val="Heading2"/>
    <w:rsid w:val="00442871"/>
    <w:rPr>
      <w:rFonts w:ascii="Arial Black" w:hAnsi="Arial Black" w:cs="Arial"/>
      <w:iCs/>
      <w:kern w:val="32"/>
      <w:sz w:val="19"/>
      <w:szCs w:val="19"/>
      <w:lang w:eastAsia="en-US"/>
    </w:rPr>
  </w:style>
  <w:style w:type="character" w:styleId="Hyperlink">
    <w:name w:val="Hyperlink"/>
    <w:rsid w:val="004428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2871"/>
    <w:pPr>
      <w:ind w:left="720"/>
      <w:contextualSpacing/>
    </w:pPr>
  </w:style>
  <w:style w:type="paragraph" w:customStyle="1" w:styleId="legclearfix2">
    <w:name w:val="legclearfix2"/>
    <w:basedOn w:val="Normal"/>
    <w:rsid w:val="00442871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442871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semiHidden/>
    <w:unhideWhenUsed/>
    <w:rsid w:val="00C133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33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o.org.uk/code-audit-practice/wp-content/uploads/sites/29/2015/03/Council-accounts-a-guide-to-your-right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%20farr\appdata\roaming\microsoft\templates\GTUK2008\GT%20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Normal</Template>
  <TotalTime>0</TotalTime>
  <Pages>1</Pages>
  <Words>446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UK LLP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J Ellison</dc:creator>
  <cp:lastModifiedBy>Stogumber Parish Council</cp:lastModifiedBy>
  <cp:revision>2</cp:revision>
  <cp:lastPrinted>2017-08-29T12:24:00Z</cp:lastPrinted>
  <dcterms:created xsi:type="dcterms:W3CDTF">2017-11-23T13:47:00Z</dcterms:created>
  <dcterms:modified xsi:type="dcterms:W3CDTF">2017-11-23T13:47:00Z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T Templates Version">
    <vt:lpwstr>GT Normal R3.2 2003 22/12/08</vt:lpwstr>
  </property>
  <property fmtid="{D5CDD505-2E9C-101B-9397-08002B2CF9AE}" pid="3" name="GT Version">
    <vt:r8>3.3</vt:r8>
  </property>
  <property fmtid="{D5CDD505-2E9C-101B-9397-08002B2CF9AE}" pid="4" name="GT Date">
    <vt:filetime>2009-09-23T23:00:00Z</vt:filetime>
  </property>
</Properties>
</file>